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77" w:rsidRDefault="006C7377" w:rsidP="006C7377">
      <w:pPr>
        <w:pStyle w:val="paragraph"/>
        <w:textAlignment w:val="baseline"/>
        <w:rPr>
          <w:rFonts w:ascii="Segoe UI" w:hAnsi="Segoe UI" w:cs="Segoe UI"/>
          <w:sz w:val="12"/>
          <w:szCs w:val="12"/>
        </w:rPr>
      </w:pPr>
    </w:p>
    <w:p w:rsidR="006C7377" w:rsidRDefault="006C7377" w:rsidP="006C7377">
      <w:pPr>
        <w:pStyle w:val="paragraph"/>
        <w:jc w:val="center"/>
        <w:textAlignment w:val="baseline"/>
        <w:rPr>
          <w:rFonts w:ascii="Segoe UI" w:hAnsi="Segoe UI" w:cs="Segoe UI"/>
          <w:sz w:val="12"/>
          <w:szCs w:val="12"/>
        </w:rPr>
      </w:pPr>
      <w:r>
        <w:rPr>
          <w:noProof/>
        </w:rPr>
        <w:t xml:space="preserve"> </w:t>
      </w:r>
      <w:r>
        <w:rPr>
          <w:noProof/>
        </w:rPr>
        <w:drawing>
          <wp:inline distT="0" distB="0" distL="0" distR="0">
            <wp:extent cx="2543175" cy="1009650"/>
            <wp:effectExtent l="0" t="0" r="9525" b="0"/>
            <wp:docPr id="3" name="Picture 3" descr="TDC-4color-log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4color-logo la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009650"/>
                    </a:xfrm>
                    <a:prstGeom prst="rect">
                      <a:avLst/>
                    </a:prstGeom>
                    <a:noFill/>
                    <a:ln>
                      <a:noFill/>
                    </a:ln>
                  </pic:spPr>
                </pic:pic>
              </a:graphicData>
            </a:graphic>
          </wp:inline>
        </w:drawing>
      </w:r>
      <w:r>
        <w:rPr>
          <w:noProof/>
        </w:rPr>
        <w:t xml:space="preserve">                 </w:t>
      </w:r>
      <w:r>
        <w:rPr>
          <w:noProof/>
        </w:rPr>
        <w:drawing>
          <wp:inline distT="0" distB="0" distL="0" distR="0">
            <wp:extent cx="2457450" cy="876300"/>
            <wp:effectExtent l="0" t="0" r="0" b="0"/>
            <wp:docPr id="2" name="Picture 2" descr="cid:CCDDD01A-25C2-4A50-87EB-8ED940791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CDDD01A-25C2-4A50-87EB-8ED94079115C"/>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57450" cy="876300"/>
                    </a:xfrm>
                    <a:prstGeom prst="rect">
                      <a:avLst/>
                    </a:prstGeom>
                    <a:noFill/>
                    <a:ln>
                      <a:noFill/>
                    </a:ln>
                  </pic:spPr>
                </pic:pic>
              </a:graphicData>
            </a:graphic>
          </wp:inline>
        </w:drawing>
      </w:r>
      <w:r>
        <w:rPr>
          <w:noProof/>
        </w:rPr>
        <w:t xml:space="preserve">  </w:t>
      </w:r>
    </w:p>
    <w:p w:rsidR="00EA2F49" w:rsidRDefault="00EA2F49" w:rsidP="00EA2F49">
      <w:bookmarkStart w:id="0" w:name="_GoBack"/>
      <w:bookmarkEnd w:id="0"/>
    </w:p>
    <w:p w:rsidR="00C83658" w:rsidRDefault="009377A9" w:rsidP="006252B5">
      <w:pPr>
        <w:spacing w:after="0"/>
        <w:rPr>
          <w:b/>
          <w:sz w:val="28"/>
          <w:szCs w:val="28"/>
          <w:u w:val="single"/>
        </w:rPr>
      </w:pPr>
      <w:r>
        <w:rPr>
          <w:b/>
          <w:sz w:val="28"/>
          <w:szCs w:val="28"/>
          <w:u w:val="single"/>
        </w:rPr>
        <w:t>Consent Agreement</w:t>
      </w:r>
    </w:p>
    <w:p w:rsidR="009377A9" w:rsidRPr="009377A9" w:rsidRDefault="009377A9" w:rsidP="006252B5">
      <w:pPr>
        <w:spacing w:after="0"/>
        <w:rPr>
          <w:b/>
          <w:sz w:val="10"/>
          <w:szCs w:val="10"/>
          <w:u w:val="single"/>
        </w:rPr>
      </w:pPr>
    </w:p>
    <w:p w:rsidR="00C83658" w:rsidRPr="00C83658" w:rsidRDefault="00C83658" w:rsidP="006252B5">
      <w:pPr>
        <w:spacing w:after="0" w:line="240" w:lineRule="auto"/>
        <w:rPr>
          <w:sz w:val="24"/>
          <w:szCs w:val="24"/>
        </w:rPr>
      </w:pPr>
      <w:r w:rsidRPr="00C83658">
        <w:rPr>
          <w:sz w:val="24"/>
          <w:szCs w:val="24"/>
        </w:rPr>
        <w:t xml:space="preserve">I consent to enroll my child/self and accept full responsibility of the named student participant and I while on the premises of Texas Center for </w:t>
      </w:r>
      <w:proofErr w:type="spellStart"/>
      <w:r w:rsidRPr="00C83658">
        <w:rPr>
          <w:sz w:val="24"/>
          <w:szCs w:val="24"/>
        </w:rPr>
        <w:t>Arts+Academics</w:t>
      </w:r>
      <w:proofErr w:type="spellEnd"/>
      <w:r w:rsidRPr="00C83658">
        <w:rPr>
          <w:sz w:val="24"/>
          <w:szCs w:val="24"/>
        </w:rPr>
        <w:t xml:space="preserve">. I hereby release and hold harmless TCAA and all other persons and entities associated from all injuries, sickness and/or damages. </w:t>
      </w:r>
    </w:p>
    <w:p w:rsidR="00C83658" w:rsidRDefault="00C83658" w:rsidP="00C83658">
      <w:pPr>
        <w:spacing w:after="0" w:line="240" w:lineRule="auto"/>
        <w:rPr>
          <w:sz w:val="24"/>
          <w:szCs w:val="24"/>
        </w:rPr>
      </w:pPr>
    </w:p>
    <w:p w:rsidR="00C83658" w:rsidRPr="00C83658" w:rsidRDefault="00C83658" w:rsidP="00C83658">
      <w:pPr>
        <w:spacing w:after="0" w:line="240" w:lineRule="auto"/>
        <w:rPr>
          <w:sz w:val="24"/>
          <w:szCs w:val="24"/>
        </w:rPr>
      </w:pPr>
      <w:r w:rsidRPr="00C83658">
        <w:rPr>
          <w:sz w:val="24"/>
          <w:szCs w:val="24"/>
        </w:rPr>
        <w:t xml:space="preserve">I also consent and agree to have my child/self photographed for publicity and promotional purposes. </w:t>
      </w:r>
    </w:p>
    <w:p w:rsidR="00C83658" w:rsidRPr="00C83658" w:rsidRDefault="00C83658" w:rsidP="00C83658">
      <w:pPr>
        <w:spacing w:after="0" w:line="240" w:lineRule="auto"/>
        <w:rPr>
          <w:sz w:val="24"/>
          <w:szCs w:val="24"/>
        </w:rPr>
      </w:pPr>
      <w:r w:rsidRPr="00C83658">
        <w:rPr>
          <w:sz w:val="24"/>
          <w:szCs w:val="24"/>
        </w:rPr>
        <w:t xml:space="preserve"> </w:t>
      </w:r>
    </w:p>
    <w:p w:rsidR="00EA2F49" w:rsidRPr="00C83658" w:rsidRDefault="00C83658" w:rsidP="00C83658">
      <w:pPr>
        <w:spacing w:after="0" w:line="240" w:lineRule="auto"/>
        <w:rPr>
          <w:sz w:val="24"/>
          <w:szCs w:val="24"/>
        </w:rPr>
      </w:pPr>
      <w:r w:rsidRPr="00C83658">
        <w:rPr>
          <w:sz w:val="24"/>
          <w:szCs w:val="24"/>
        </w:rPr>
        <w:t>It is the policy of Texas Center for Arts + Academics to contact a student's parent/guardian immediately in the event of sickness or injury. In case of emergency, I authorize Texas Center for Arts + Academics to take one or more of the following actions: a) release my child to the non-parent/guardian emergency contact or b) contact emergency medical services to care for or transport my child to a hospital for emergency care.</w:t>
      </w:r>
    </w:p>
    <w:p w:rsidR="00C83658" w:rsidRDefault="00C83658" w:rsidP="00C83658">
      <w:pPr>
        <w:spacing w:after="0" w:line="240" w:lineRule="auto"/>
        <w:rPr>
          <w:sz w:val="24"/>
          <w:szCs w:val="24"/>
        </w:rPr>
      </w:pPr>
    </w:p>
    <w:p w:rsidR="006252B5" w:rsidRDefault="006252B5" w:rsidP="00C83658">
      <w:pPr>
        <w:spacing w:after="0" w:line="240" w:lineRule="auto"/>
        <w:rPr>
          <w:sz w:val="24"/>
          <w:szCs w:val="24"/>
        </w:rPr>
      </w:pPr>
    </w:p>
    <w:p w:rsidR="00C83658" w:rsidRPr="00C83658" w:rsidRDefault="00C83658" w:rsidP="00C83658">
      <w:pPr>
        <w:spacing w:after="0" w:line="240" w:lineRule="auto"/>
        <w:rPr>
          <w:b/>
          <w:sz w:val="28"/>
          <w:szCs w:val="28"/>
          <w:u w:val="single"/>
        </w:rPr>
      </w:pPr>
      <w:r w:rsidRPr="00C83658">
        <w:rPr>
          <w:b/>
          <w:sz w:val="28"/>
          <w:szCs w:val="28"/>
          <w:u w:val="single"/>
        </w:rPr>
        <w:t>Financial Policies &amp; Procedures</w:t>
      </w:r>
    </w:p>
    <w:p w:rsidR="00C83658" w:rsidRPr="006252B5" w:rsidRDefault="00C83658" w:rsidP="00C83658">
      <w:pPr>
        <w:spacing w:after="0" w:line="240" w:lineRule="auto"/>
        <w:rPr>
          <w:b/>
          <w:sz w:val="10"/>
          <w:szCs w:val="10"/>
          <w:u w:val="single"/>
        </w:rPr>
      </w:pP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Registration fees and tuition are non-refundable. Tuition fees may be credited to future enrollment on a case-by-case basis. Partial tuition fees may be refunded in unusual circumstances, at the sole discretion of the President/CEO.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Costume </w:t>
      </w:r>
      <w:r w:rsidR="008E104C">
        <w:rPr>
          <w:sz w:val="24"/>
          <w:szCs w:val="24"/>
        </w:rPr>
        <w:t xml:space="preserve">&amp; Supply </w:t>
      </w:r>
      <w:r w:rsidRPr="00C83658">
        <w:rPr>
          <w:sz w:val="24"/>
          <w:szCs w:val="24"/>
        </w:rPr>
        <w:t xml:space="preserve">fees are non-refundable once the costume order has been placed.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Monthly tuition is due on the 1st of each month or the first day of class for that billing period. Session/Term/yearly tuition is due by the first class day of that billing period.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A late fee of $15 is added if tuition is not received by the 10th of the month. On the 15th of the month, an additional fee of $5/day will be assessed until full payment is received.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A student's enrollment will be cancelled after 30 days of non-payment.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A $30 fee will be assessed for checks returned for insufficient funds. </w:t>
      </w:r>
    </w:p>
    <w:p w:rsidR="00C83658" w:rsidRPr="00C83658" w:rsidRDefault="00C83658" w:rsidP="00C83658">
      <w:pPr>
        <w:pStyle w:val="ListParagraph"/>
        <w:numPr>
          <w:ilvl w:val="0"/>
          <w:numId w:val="1"/>
        </w:numPr>
        <w:spacing w:after="0" w:line="240" w:lineRule="auto"/>
        <w:rPr>
          <w:sz w:val="24"/>
          <w:szCs w:val="24"/>
        </w:rPr>
      </w:pPr>
      <w:r w:rsidRPr="00C83658">
        <w:rPr>
          <w:sz w:val="24"/>
          <w:szCs w:val="24"/>
        </w:rPr>
        <w:t xml:space="preserve">If a student withdraws or his/her enrollment is cancelled due to absence/non-payment, a new registration fee will be required to re-enroll. </w:t>
      </w:r>
    </w:p>
    <w:p w:rsidR="00C83658" w:rsidRDefault="00C83658" w:rsidP="00C83658">
      <w:pPr>
        <w:pStyle w:val="ListParagraph"/>
        <w:numPr>
          <w:ilvl w:val="0"/>
          <w:numId w:val="1"/>
        </w:numPr>
        <w:spacing w:after="0" w:line="240" w:lineRule="auto"/>
        <w:rPr>
          <w:sz w:val="24"/>
          <w:szCs w:val="24"/>
        </w:rPr>
      </w:pPr>
      <w:r w:rsidRPr="00C83658">
        <w:rPr>
          <w:sz w:val="24"/>
          <w:szCs w:val="24"/>
        </w:rPr>
        <w:t>The Conservatory should be notified in advance of an extended absence such as illness, injury, travel, etc. Students who are absent less than one month will not receive prorated or waived tuition. Students with pre-approved absences of longer than one month may be eligible for pro-rated or waived tuition at the sole discretion of the President/CEO.</w:t>
      </w:r>
    </w:p>
    <w:p w:rsidR="008E104C" w:rsidRDefault="008E104C" w:rsidP="008E104C">
      <w:pPr>
        <w:spacing w:after="0" w:line="240" w:lineRule="auto"/>
        <w:rPr>
          <w:sz w:val="24"/>
          <w:szCs w:val="24"/>
        </w:rPr>
      </w:pPr>
    </w:p>
    <w:p w:rsidR="008E104C" w:rsidRDefault="008E104C" w:rsidP="008E104C">
      <w:pPr>
        <w:spacing w:after="0" w:line="240" w:lineRule="auto"/>
        <w:rPr>
          <w:sz w:val="24"/>
          <w:szCs w:val="24"/>
        </w:rPr>
      </w:pPr>
    </w:p>
    <w:p w:rsidR="008E104C" w:rsidRDefault="008E104C" w:rsidP="008E104C">
      <w:pPr>
        <w:spacing w:after="0" w:line="240" w:lineRule="auto"/>
        <w:rPr>
          <w:sz w:val="24"/>
          <w:szCs w:val="24"/>
        </w:rPr>
      </w:pPr>
      <w:r>
        <w:rPr>
          <w:sz w:val="24"/>
          <w:szCs w:val="24"/>
        </w:rPr>
        <w:t>Student’s Name ____________________________________________</w:t>
      </w:r>
    </w:p>
    <w:p w:rsidR="008E104C" w:rsidRDefault="008E104C" w:rsidP="008E104C">
      <w:pPr>
        <w:spacing w:after="0" w:line="240" w:lineRule="auto"/>
        <w:rPr>
          <w:sz w:val="24"/>
          <w:szCs w:val="24"/>
        </w:rPr>
      </w:pPr>
    </w:p>
    <w:p w:rsidR="008E104C" w:rsidRDefault="008E104C" w:rsidP="008E104C">
      <w:pPr>
        <w:spacing w:after="0" w:line="240" w:lineRule="auto"/>
        <w:rPr>
          <w:sz w:val="24"/>
          <w:szCs w:val="24"/>
        </w:rPr>
      </w:pPr>
    </w:p>
    <w:p w:rsidR="008E104C" w:rsidRDefault="008E104C" w:rsidP="008E104C">
      <w:pPr>
        <w:spacing w:after="0" w:line="240" w:lineRule="auto"/>
        <w:rPr>
          <w:sz w:val="24"/>
          <w:szCs w:val="24"/>
        </w:rPr>
      </w:pPr>
      <w:r>
        <w:rPr>
          <w:sz w:val="24"/>
          <w:szCs w:val="24"/>
        </w:rPr>
        <w:t>Parent/Guardian’s Signature ________________________________________________</w:t>
      </w:r>
    </w:p>
    <w:p w:rsidR="008E104C" w:rsidRDefault="008E104C" w:rsidP="008E104C">
      <w:pPr>
        <w:spacing w:after="0" w:line="240" w:lineRule="auto"/>
        <w:rPr>
          <w:sz w:val="24"/>
          <w:szCs w:val="24"/>
        </w:rPr>
      </w:pPr>
    </w:p>
    <w:p w:rsidR="008E104C" w:rsidRDefault="008E104C" w:rsidP="008E104C">
      <w:pPr>
        <w:spacing w:after="0" w:line="240" w:lineRule="auto"/>
        <w:rPr>
          <w:sz w:val="24"/>
          <w:szCs w:val="24"/>
        </w:rPr>
      </w:pPr>
    </w:p>
    <w:p w:rsidR="008E104C" w:rsidRPr="008E104C" w:rsidRDefault="008E104C" w:rsidP="008E104C">
      <w:pPr>
        <w:spacing w:after="0" w:line="240" w:lineRule="auto"/>
        <w:rPr>
          <w:sz w:val="24"/>
          <w:szCs w:val="24"/>
        </w:rPr>
      </w:pPr>
      <w:r>
        <w:rPr>
          <w:sz w:val="24"/>
          <w:szCs w:val="24"/>
        </w:rPr>
        <w:t>Date ___________________________</w:t>
      </w:r>
    </w:p>
    <w:sectPr w:rsidR="008E104C" w:rsidRPr="008E104C" w:rsidSect="00625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6FFC"/>
    <w:multiLevelType w:val="hybridMultilevel"/>
    <w:tmpl w:val="B9F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C01E6"/>
    <w:multiLevelType w:val="hybridMultilevel"/>
    <w:tmpl w:val="E5CC7D24"/>
    <w:lvl w:ilvl="0" w:tplc="C7CED82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49"/>
    <w:rsid w:val="006252B5"/>
    <w:rsid w:val="006C7377"/>
    <w:rsid w:val="008E104C"/>
    <w:rsid w:val="009377A9"/>
    <w:rsid w:val="00C83658"/>
    <w:rsid w:val="00DF1BBA"/>
    <w:rsid w:val="00EA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FB9A-A0B5-478C-83F8-8AD326A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49"/>
    <w:rPr>
      <w:rFonts w:ascii="Segoe UI" w:hAnsi="Segoe UI" w:cs="Segoe UI"/>
      <w:sz w:val="18"/>
      <w:szCs w:val="18"/>
    </w:rPr>
  </w:style>
  <w:style w:type="paragraph" w:styleId="ListParagraph">
    <w:name w:val="List Paragraph"/>
    <w:basedOn w:val="Normal"/>
    <w:uiPriority w:val="34"/>
    <w:qFormat/>
    <w:rsid w:val="00C83658"/>
    <w:pPr>
      <w:ind w:left="720"/>
      <w:contextualSpacing/>
    </w:pPr>
  </w:style>
  <w:style w:type="paragraph" w:customStyle="1" w:styleId="paragraph">
    <w:name w:val="paragraph"/>
    <w:basedOn w:val="Normal"/>
    <w:rsid w:val="006C73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CCDDD01A-25C2-4A50-87EB-8ED9407911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Sheyna Ferraro</dc:creator>
  <cp:keywords/>
  <dc:description/>
  <cp:lastModifiedBy>Sheyna Ferraro</cp:lastModifiedBy>
  <cp:revision>3</cp:revision>
  <cp:lastPrinted>2018-06-18T13:40:00Z</cp:lastPrinted>
  <dcterms:created xsi:type="dcterms:W3CDTF">2020-04-23T18:03:00Z</dcterms:created>
  <dcterms:modified xsi:type="dcterms:W3CDTF">2020-04-23T18:48:00Z</dcterms:modified>
</cp:coreProperties>
</file>